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7F4BFC6E" w14:textId="4C6B677F" w:rsidR="009070F4" w:rsidRDefault="00FE65C8" w:rsidP="001E56AC">
      <w:pPr>
        <w:jc w:val="center"/>
        <w:rPr>
          <w:sz w:val="48"/>
          <w:szCs w:val="48"/>
        </w:rPr>
      </w:pPr>
      <w:r>
        <w:rPr>
          <w:sz w:val="48"/>
          <w:szCs w:val="48"/>
        </w:rPr>
        <w:t>Stoneybrook South</w:t>
      </w:r>
      <w:r w:rsidR="009070F4">
        <w:rPr>
          <w:sz w:val="48"/>
          <w:szCs w:val="48"/>
        </w:rPr>
        <w:t xml:space="preserve"> </w:t>
      </w:r>
    </w:p>
    <w:p w14:paraId="1D8F115F" w14:textId="4B00F88C" w:rsidR="00655185" w:rsidRPr="00D95A19" w:rsidRDefault="00655185" w:rsidP="001E56AC">
      <w:pPr>
        <w:jc w:val="center"/>
        <w:rPr>
          <w:sz w:val="48"/>
          <w:szCs w:val="48"/>
        </w:rPr>
      </w:pPr>
      <w:r w:rsidRPr="00D95A19">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6DA4DF87" w:rsidR="00655185" w:rsidRPr="001E56AC" w:rsidRDefault="005A650C" w:rsidP="001E56AC">
      <w:pPr>
        <w:jc w:val="center"/>
        <w:rPr>
          <w:sz w:val="28"/>
          <w:szCs w:val="28"/>
        </w:rPr>
      </w:pPr>
      <w:r>
        <w:rPr>
          <w:sz w:val="28"/>
          <w:szCs w:val="28"/>
        </w:rPr>
        <w:t>August</w:t>
      </w:r>
      <w:r w:rsidR="009D554C">
        <w:rPr>
          <w:sz w:val="28"/>
          <w:szCs w:val="28"/>
        </w:rPr>
        <w:t xml:space="preserve"> 1, 2019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10DDF914" w:rsidR="00A77C66" w:rsidRDefault="00A77C66" w:rsidP="009D554C">
      <w:pPr>
        <w:jc w:val="center"/>
      </w:pPr>
      <w:r>
        <w:t>By:</w:t>
      </w:r>
      <w:r>
        <w:tab/>
        <w:t>Governme</w:t>
      </w:r>
      <w:r w:rsidR="00C8244D">
        <w:t>ntal Management Services</w:t>
      </w:r>
      <w:r w:rsidR="00C627F4">
        <w:t>-Central Florid</w:t>
      </w:r>
      <w:r w:rsidR="003A225F">
        <w:t>a</w:t>
      </w:r>
      <w:r>
        <w:t>, LLC</w:t>
      </w:r>
    </w:p>
    <w:p w14:paraId="3BA02D63" w14:textId="77777777" w:rsidR="00E468D3" w:rsidRDefault="00E468D3" w:rsidP="00E468D3">
      <w:pPr>
        <w:jc w:val="center"/>
      </w:pPr>
      <w:r>
        <w:t>219 E. Livingston Street</w:t>
      </w:r>
    </w:p>
    <w:p w14:paraId="366AE176" w14:textId="20F07B98" w:rsidR="00B91D39" w:rsidRDefault="00B91D39" w:rsidP="00B91D39">
      <w:pPr>
        <w:jc w:val="center"/>
      </w:pPr>
      <w:r>
        <w:t>Orlando, Florida 32801</w:t>
      </w:r>
    </w:p>
    <w:p w14:paraId="226576FA" w14:textId="77777777" w:rsidR="009D554C" w:rsidRDefault="009D554C" w:rsidP="00A77C66">
      <w:pPr>
        <w:jc w:val="center"/>
      </w:pPr>
    </w:p>
    <w:p w14:paraId="118029F6" w14:textId="7B43DF87" w:rsidR="00A77C66" w:rsidRDefault="00A77C66" w:rsidP="00A77C66">
      <w:pPr>
        <w:jc w:val="center"/>
      </w:pPr>
      <w:r>
        <w:t>Table o</w:t>
      </w:r>
      <w:r w:rsidR="00816E1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DC826E0" w:rsidR="00A77C66" w:rsidRDefault="00A77C66" w:rsidP="00A77C66">
      <w:pPr>
        <w:pStyle w:val="ListParagraph"/>
        <w:numPr>
          <w:ilvl w:val="0"/>
          <w:numId w:val="5"/>
        </w:numPr>
      </w:pPr>
      <w:r>
        <w:t>Propo</w:t>
      </w:r>
      <w:r w:rsidR="003B2D1C">
        <w:t xml:space="preserve">sed Expansion Over </w:t>
      </w:r>
      <w:r w:rsidR="00D95A19">
        <w:t>t</w:t>
      </w:r>
      <w:r w:rsidR="003B2D1C">
        <w:t xml:space="preserve">he Next </w:t>
      </w:r>
      <w:r w:rsidR="000231E1">
        <w:t>7</w:t>
      </w:r>
      <w:r>
        <w:t xml:space="preserve"> Years</w:t>
      </w:r>
    </w:p>
    <w:p w14:paraId="4A6E1BEC" w14:textId="77777777" w:rsidR="000231E1" w:rsidRDefault="000231E1" w:rsidP="000231E1">
      <w:pPr>
        <w:pStyle w:val="ListParagraph"/>
      </w:pPr>
    </w:p>
    <w:p w14:paraId="36EA027C" w14:textId="43F0F88E" w:rsidR="000231E1" w:rsidRDefault="00D95A19" w:rsidP="000231E1">
      <w:pPr>
        <w:pStyle w:val="ListParagraph"/>
        <w:numPr>
          <w:ilvl w:val="0"/>
          <w:numId w:val="5"/>
        </w:numPr>
      </w:pPr>
      <w:r>
        <w:t xml:space="preserve">Replacement of Public Facilities </w:t>
      </w:r>
      <w:r w:rsidR="000231E1">
        <w:t xml:space="preserve">Over </w:t>
      </w:r>
      <w:r>
        <w:t>t</w:t>
      </w:r>
      <w:r w:rsidR="000231E1">
        <w: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57388774" w:rsidR="00655185" w:rsidRDefault="00FE65C8">
      <w:r>
        <w:t xml:space="preserve">Stoneybrook South </w:t>
      </w:r>
      <w:r w:rsidR="00655185">
        <w:t>Community Development District</w:t>
      </w:r>
    </w:p>
    <w:p w14:paraId="1A5EBBF2" w14:textId="61877045" w:rsidR="00655185" w:rsidRDefault="005A650C">
      <w:r>
        <w:t>August</w:t>
      </w:r>
      <w:r w:rsidR="000231E1">
        <w:t xml:space="preserve"> 1</w:t>
      </w:r>
      <w:r w:rsidR="001E56AC" w:rsidRPr="009E0BE7">
        <w:t xml:space="preserve">, </w:t>
      </w:r>
      <w:r w:rsidR="00A77C66" w:rsidRPr="009E0BE7">
        <w:t>201</w:t>
      </w:r>
      <w:r w:rsidR="000231E1">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bookmarkStart w:id="0" w:name="_GoBack"/>
      <w:bookmarkEnd w:id="0"/>
    </w:p>
    <w:p w14:paraId="0A786A46" w14:textId="77777777" w:rsidR="001E56AC" w:rsidRPr="001E56AC" w:rsidRDefault="001E56AC" w:rsidP="001E56AC">
      <w:pPr>
        <w:pStyle w:val="ListParagraph"/>
        <w:ind w:left="1080"/>
        <w:rPr>
          <w:b/>
        </w:rPr>
      </w:pPr>
    </w:p>
    <w:p w14:paraId="454CCC29" w14:textId="5D3A4AAA" w:rsidR="00655185" w:rsidRPr="00B3395E" w:rsidRDefault="00A77C66" w:rsidP="001E56AC">
      <w:pPr>
        <w:jc w:val="both"/>
      </w:pPr>
      <w:r w:rsidRPr="00B3395E">
        <w:t xml:space="preserve">This report is provided </w:t>
      </w:r>
      <w:r w:rsidR="009D554C">
        <w:t>for</w:t>
      </w:r>
      <w:r w:rsidR="009D5625">
        <w:t xml:space="preserve"> </w:t>
      </w:r>
      <w:r w:rsidR="00FE65C8">
        <w:t xml:space="preserve">Southbrook South </w:t>
      </w:r>
      <w:r w:rsidR="00655185" w:rsidRPr="00B3395E">
        <w:t>C</w:t>
      </w:r>
      <w:r w:rsidR="00193989" w:rsidRPr="00B3395E">
        <w:t>ommunity Development District (</w:t>
      </w:r>
      <w:r w:rsidR="0073675E">
        <w:t xml:space="preserve"> the </w:t>
      </w:r>
      <w:r w:rsidR="00193989" w:rsidRPr="00B3395E">
        <w:t xml:space="preserve">“District”) as an obligation under Section </w:t>
      </w:r>
      <w:r w:rsidRPr="00B3395E">
        <w:t>189.</w:t>
      </w:r>
      <w:r w:rsidR="0022579F">
        <w:t>415,</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41954AF2" w:rsidR="00655185" w:rsidRDefault="00FE65C8" w:rsidP="00244D8E">
      <w:pPr>
        <w:jc w:val="both"/>
      </w:pPr>
      <w:r>
        <w:t xml:space="preserve">The development is an approximately </w:t>
      </w:r>
      <w:proofErr w:type="gramStart"/>
      <w:r>
        <w:t>917 acre</w:t>
      </w:r>
      <w:proofErr w:type="gramEnd"/>
      <w:r>
        <w:t xml:space="preserve"> master-planned residential community, of which approximately 900 acres are co-extensive with the District boundaries and located in unincorporated Osceola County, Florida, and approximately 17 acres are located in unincorporated Polk County, Florida, outside of the District’s boundaries.  </w:t>
      </w:r>
      <w:r w:rsidR="00B26FF5">
        <w:t>The District has been developed into 1,695 residential units</w:t>
      </w:r>
      <w:r>
        <w:t>.</w:t>
      </w: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53AA96E0" w14:textId="4E99193A" w:rsidR="0073546A" w:rsidRPr="0073546A" w:rsidRDefault="005A650C" w:rsidP="0073546A">
      <w:pPr>
        <w:pStyle w:val="ListParagraph"/>
        <w:ind w:left="1440"/>
        <w:jc w:val="both"/>
        <w:rPr>
          <w:bCs/>
          <w:i/>
          <w:iCs/>
        </w:rPr>
      </w:pPr>
      <w:r>
        <w:rPr>
          <w:bCs/>
          <w:i/>
          <w:iCs/>
        </w:rPr>
        <w:t xml:space="preserve">See the attached </w:t>
      </w:r>
      <w:r w:rsidR="008511D0">
        <w:rPr>
          <w:bCs/>
          <w:i/>
          <w:iCs/>
        </w:rPr>
        <w:t xml:space="preserve">Engineer’s Report </w:t>
      </w:r>
      <w:r w:rsidR="00B26FF5">
        <w:rPr>
          <w:bCs/>
          <w:i/>
          <w:iCs/>
        </w:rPr>
        <w:t xml:space="preserve">dated May 5, 2014 - </w:t>
      </w:r>
      <w:r w:rsidR="008511D0">
        <w:rPr>
          <w:bCs/>
          <w:i/>
          <w:iCs/>
        </w:rPr>
        <w:t xml:space="preserve">Section </w:t>
      </w:r>
      <w:r w:rsidR="008B5482">
        <w:rPr>
          <w:bCs/>
          <w:i/>
          <w:iCs/>
        </w:rPr>
        <w:t>4</w:t>
      </w:r>
      <w:r w:rsidR="008511D0">
        <w:rPr>
          <w:bCs/>
          <w:i/>
          <w:iCs/>
        </w:rPr>
        <w:t>.0.</w:t>
      </w:r>
    </w:p>
    <w:p w14:paraId="58BE3853" w14:textId="77777777" w:rsidR="00CA38CE" w:rsidRDefault="00CA38CE" w:rsidP="00CA38CE">
      <w:pPr>
        <w:ind w:left="1440"/>
        <w:jc w:val="both"/>
        <w:rPr>
          <w:bCs/>
          <w:i/>
          <w:iCs/>
        </w:rPr>
      </w:pPr>
    </w:p>
    <w:p w14:paraId="726AB6A3" w14:textId="3117970F" w:rsidR="009D554C" w:rsidRPr="00CA38CE" w:rsidRDefault="009D554C" w:rsidP="00CA38CE">
      <w:pPr>
        <w:pStyle w:val="ListParagraph"/>
        <w:numPr>
          <w:ilvl w:val="0"/>
          <w:numId w:val="6"/>
        </w:numPr>
        <w:jc w:val="both"/>
        <w:rPr>
          <w:b/>
        </w:rPr>
      </w:pPr>
      <w:r w:rsidRPr="00CA38CE">
        <w:rPr>
          <w:b/>
        </w:rPr>
        <w:t>Current Capacity of Facility</w:t>
      </w:r>
    </w:p>
    <w:p w14:paraId="05BA3993" w14:textId="743798BB" w:rsidR="00CA38CE" w:rsidRPr="00B26FF5" w:rsidRDefault="000231E1" w:rsidP="00B26FF5">
      <w:pPr>
        <w:pStyle w:val="ListParagraph"/>
        <w:ind w:left="1440"/>
        <w:jc w:val="both"/>
        <w:rPr>
          <w:bCs/>
          <w:i/>
          <w:iCs/>
        </w:rPr>
      </w:pPr>
      <w:r>
        <w:rPr>
          <w:bCs/>
          <w:i/>
          <w:iCs/>
        </w:rPr>
        <w:t>-</w:t>
      </w:r>
      <w:r w:rsidR="00B26FF5" w:rsidRPr="00B26FF5">
        <w:rPr>
          <w:bCs/>
          <w:i/>
          <w:iCs/>
        </w:rPr>
        <w:t xml:space="preserve"> </w:t>
      </w:r>
      <w:r w:rsidR="00B26FF5">
        <w:rPr>
          <w:bCs/>
          <w:i/>
          <w:iCs/>
        </w:rPr>
        <w:t>See the attached Engineer’s Report dated May 5, 2014 - Section 4.0.</w:t>
      </w:r>
    </w:p>
    <w:p w14:paraId="4EBAA1FB" w14:textId="77777777" w:rsidR="00CA38CE" w:rsidRPr="00CA38CE" w:rsidRDefault="00CA38CE" w:rsidP="00CA38CE">
      <w:pPr>
        <w:pStyle w:val="ListParagraph"/>
        <w:ind w:left="1440"/>
        <w:rPr>
          <w:bCs/>
          <w:i/>
          <w:iCs/>
        </w:rPr>
      </w:pPr>
    </w:p>
    <w:p w14:paraId="11FFA9D6" w14:textId="26BD30E6" w:rsidR="009D554C" w:rsidRPr="00CA38CE" w:rsidRDefault="009D554C" w:rsidP="00CA38CE">
      <w:pPr>
        <w:pStyle w:val="ListParagraph"/>
        <w:numPr>
          <w:ilvl w:val="0"/>
          <w:numId w:val="6"/>
        </w:numPr>
        <w:rPr>
          <w:b/>
        </w:rPr>
      </w:pPr>
      <w:r w:rsidRPr="00CA38CE">
        <w:rPr>
          <w:b/>
        </w:rPr>
        <w:t>Current demands placed on it</w:t>
      </w:r>
    </w:p>
    <w:p w14:paraId="7D1DF362" w14:textId="330B7205" w:rsidR="00B26FF5" w:rsidRPr="0073546A" w:rsidRDefault="000231E1" w:rsidP="00B26FF5">
      <w:pPr>
        <w:pStyle w:val="ListParagraph"/>
        <w:ind w:left="1440"/>
        <w:jc w:val="both"/>
        <w:rPr>
          <w:bCs/>
          <w:i/>
          <w:iCs/>
        </w:rPr>
      </w:pPr>
      <w:r w:rsidRPr="003A1BAF">
        <w:rPr>
          <w:bCs/>
          <w:i/>
          <w:iCs/>
        </w:rPr>
        <w:t>-</w:t>
      </w:r>
      <w:r w:rsidR="00B26FF5" w:rsidRPr="00B26FF5">
        <w:rPr>
          <w:bCs/>
          <w:i/>
          <w:iCs/>
        </w:rPr>
        <w:t xml:space="preserve"> </w:t>
      </w:r>
      <w:r w:rsidR="00B26FF5">
        <w:rPr>
          <w:bCs/>
          <w:i/>
          <w:iCs/>
        </w:rPr>
        <w:t>See the attached Engineer’s Report dated May 5, 2014 - Section 4.0.</w:t>
      </w:r>
    </w:p>
    <w:p w14:paraId="1B21BF20" w14:textId="010EE247" w:rsidR="000231E1" w:rsidRPr="003A1BAF" w:rsidRDefault="000231E1" w:rsidP="000231E1">
      <w:pPr>
        <w:pStyle w:val="ListParagraph"/>
        <w:ind w:left="1440"/>
        <w:rPr>
          <w:bCs/>
          <w:i/>
          <w:iCs/>
        </w:rPr>
      </w:pP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34C9D90B" w14:textId="63331F20" w:rsidR="000231E1" w:rsidRPr="00EC47E9" w:rsidRDefault="00FE65C8" w:rsidP="00EC47E9">
      <w:pPr>
        <w:pStyle w:val="ListParagraph"/>
        <w:ind w:left="1440"/>
        <w:jc w:val="both"/>
        <w:rPr>
          <w:bCs/>
          <w:i/>
          <w:iCs/>
        </w:rPr>
      </w:pPr>
      <w:r>
        <w:rPr>
          <w:bCs/>
          <w:i/>
          <w:iCs/>
        </w:rPr>
        <w:t>The Development is generally located east of UD Highway 27, north and south of Tri-County Road, west of the Champions Gate golf Resort and north of Polk County Road 54.  The Development</w:t>
      </w:r>
      <w:r w:rsidR="008B5482">
        <w:rPr>
          <w:bCs/>
          <w:i/>
          <w:iCs/>
        </w:rPr>
        <w:t xml:space="preserve"> is located approximately twenty miles from downtown Orlando and the Orlando International </w:t>
      </w:r>
      <w:r w:rsidR="008B5482">
        <w:rPr>
          <w:bCs/>
          <w:i/>
          <w:iCs/>
        </w:rPr>
        <w:lastRenderedPageBreak/>
        <w:t>Airport and approximately ten miles from the Orange County Convention Center, as well as Central Florida’s major tourist attractions including Walt Disney World, MGM Studios, Epcot Center, Animal Kingdom, Sea World and Universal Studios.  The Development is also located in close proximity to restaurants, shopping and medical facilities.  The Development is being marketed for both vacation rentals to foreign nationals and traditional home buyers.</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752B4AA6" w14:textId="15FE17D3" w:rsidR="00B1403C" w:rsidRDefault="000231E1">
      <w:r>
        <w:t>-</w:t>
      </w:r>
      <w:r w:rsidR="00244D8E">
        <w:t>There are currently no plans to replace the District’s public facilities.</w:t>
      </w:r>
    </w:p>
    <w:p w14:paraId="40ADD364" w14:textId="6793694F" w:rsidR="00B1403C" w:rsidRDefault="00B1403C"/>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C645" w14:textId="77777777" w:rsidR="006B52B8" w:rsidRDefault="006B52B8" w:rsidP="00655185">
      <w:r>
        <w:separator/>
      </w:r>
    </w:p>
  </w:endnote>
  <w:endnote w:type="continuationSeparator" w:id="0">
    <w:p w14:paraId="3C4938A8" w14:textId="77777777" w:rsidR="006B52B8" w:rsidRDefault="006B52B8"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4A4F" w14:textId="77777777" w:rsidR="006B52B8" w:rsidRDefault="006B52B8" w:rsidP="00655185">
      <w:r>
        <w:separator/>
      </w:r>
    </w:p>
  </w:footnote>
  <w:footnote w:type="continuationSeparator" w:id="0">
    <w:p w14:paraId="6C1873F6" w14:textId="77777777" w:rsidR="006B52B8" w:rsidRDefault="006B52B8"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13C7"/>
    <w:multiLevelType w:val="hybridMultilevel"/>
    <w:tmpl w:val="D222E80C"/>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A0E"/>
    <w:multiLevelType w:val="hybridMultilevel"/>
    <w:tmpl w:val="29063458"/>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46505"/>
    <w:rsid w:val="00081EA6"/>
    <w:rsid w:val="00093EE6"/>
    <w:rsid w:val="00094C28"/>
    <w:rsid w:val="0012326F"/>
    <w:rsid w:val="0014269C"/>
    <w:rsid w:val="00151D53"/>
    <w:rsid w:val="00163425"/>
    <w:rsid w:val="00193989"/>
    <w:rsid w:val="001D41DC"/>
    <w:rsid w:val="001E56AC"/>
    <w:rsid w:val="001E740D"/>
    <w:rsid w:val="00214C43"/>
    <w:rsid w:val="0022579F"/>
    <w:rsid w:val="00244D8E"/>
    <w:rsid w:val="00260183"/>
    <w:rsid w:val="002904BA"/>
    <w:rsid w:val="002C10A7"/>
    <w:rsid w:val="002C39F9"/>
    <w:rsid w:val="002F1D75"/>
    <w:rsid w:val="00326AD9"/>
    <w:rsid w:val="00343FDE"/>
    <w:rsid w:val="003A1BAF"/>
    <w:rsid w:val="003A225F"/>
    <w:rsid w:val="003A36F9"/>
    <w:rsid w:val="003B005D"/>
    <w:rsid w:val="003B2D1C"/>
    <w:rsid w:val="003D44BC"/>
    <w:rsid w:val="00421B5A"/>
    <w:rsid w:val="004913F1"/>
    <w:rsid w:val="004E58BA"/>
    <w:rsid w:val="0050227B"/>
    <w:rsid w:val="005154C3"/>
    <w:rsid w:val="005733A3"/>
    <w:rsid w:val="005A650C"/>
    <w:rsid w:val="00600044"/>
    <w:rsid w:val="00623F97"/>
    <w:rsid w:val="0063672D"/>
    <w:rsid w:val="00655185"/>
    <w:rsid w:val="00695170"/>
    <w:rsid w:val="0069600B"/>
    <w:rsid w:val="006B382B"/>
    <w:rsid w:val="006B52B8"/>
    <w:rsid w:val="007041A5"/>
    <w:rsid w:val="0073546A"/>
    <w:rsid w:val="0073675E"/>
    <w:rsid w:val="007610AF"/>
    <w:rsid w:val="0076167B"/>
    <w:rsid w:val="00781AFB"/>
    <w:rsid w:val="00815F88"/>
    <w:rsid w:val="00816E10"/>
    <w:rsid w:val="008220BF"/>
    <w:rsid w:val="00850862"/>
    <w:rsid w:val="00850A74"/>
    <w:rsid w:val="008511D0"/>
    <w:rsid w:val="008B5482"/>
    <w:rsid w:val="009070F4"/>
    <w:rsid w:val="0093165D"/>
    <w:rsid w:val="009D554C"/>
    <w:rsid w:val="009D5625"/>
    <w:rsid w:val="009E0BE7"/>
    <w:rsid w:val="009E3D8C"/>
    <w:rsid w:val="00A77C66"/>
    <w:rsid w:val="00A83085"/>
    <w:rsid w:val="00A90B10"/>
    <w:rsid w:val="00AD0D69"/>
    <w:rsid w:val="00B1403C"/>
    <w:rsid w:val="00B15389"/>
    <w:rsid w:val="00B26FF5"/>
    <w:rsid w:val="00B324E8"/>
    <w:rsid w:val="00B3395E"/>
    <w:rsid w:val="00B4155C"/>
    <w:rsid w:val="00B611C4"/>
    <w:rsid w:val="00B87DEE"/>
    <w:rsid w:val="00B91D39"/>
    <w:rsid w:val="00C51906"/>
    <w:rsid w:val="00C627F4"/>
    <w:rsid w:val="00C8244D"/>
    <w:rsid w:val="00CA38CE"/>
    <w:rsid w:val="00CA7051"/>
    <w:rsid w:val="00CB07C7"/>
    <w:rsid w:val="00CB221D"/>
    <w:rsid w:val="00CB55F0"/>
    <w:rsid w:val="00D760D9"/>
    <w:rsid w:val="00D95A19"/>
    <w:rsid w:val="00DC7D4E"/>
    <w:rsid w:val="00E14B35"/>
    <w:rsid w:val="00E468D3"/>
    <w:rsid w:val="00E5225D"/>
    <w:rsid w:val="00E536C8"/>
    <w:rsid w:val="00E7131D"/>
    <w:rsid w:val="00EA23A4"/>
    <w:rsid w:val="00EC47E9"/>
    <w:rsid w:val="00EC6C88"/>
    <w:rsid w:val="00EF51CC"/>
    <w:rsid w:val="00FC2C65"/>
    <w:rsid w:val="00FE65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2019-12-15T21:52:00Z</dcterms:created>
  <dcterms:modified xsi:type="dcterms:W3CDTF">2019-12-15T21:52:00Z</dcterms:modified>
</cp:coreProperties>
</file>